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C7B76" w14:textId="77777777" w:rsidR="000C49B4" w:rsidRDefault="000C49B4" w:rsidP="00AD6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32"/>
          <w:szCs w:val="20"/>
          <w:lang w:eastAsia="it-IT"/>
        </w:rPr>
      </w:pPr>
      <w:bookmarkStart w:id="0" w:name="_GoBack"/>
      <w:bookmarkEnd w:id="0"/>
    </w:p>
    <w:p w14:paraId="4FF93934" w14:textId="77777777" w:rsidR="00F27E78" w:rsidRPr="00F27E78" w:rsidRDefault="00F27E78" w:rsidP="00F2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F27E78">
        <w:rPr>
          <w:rFonts w:ascii="Times New Roman" w:eastAsia="Times New Roman" w:hAnsi="Times New Roman"/>
          <w:b/>
          <w:sz w:val="32"/>
          <w:szCs w:val="32"/>
          <w:lang w:eastAsia="it-IT"/>
        </w:rPr>
        <w:t>Dott. Guido Lacca</w:t>
      </w:r>
    </w:p>
    <w:p w14:paraId="271469D7" w14:textId="77777777" w:rsidR="00F27E78" w:rsidRPr="00C82D67" w:rsidRDefault="00F27E78" w:rsidP="00F2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>Medico Chirurgo</w:t>
      </w:r>
    </w:p>
    <w:p w14:paraId="552D30CD" w14:textId="77777777" w:rsidR="00F27E78" w:rsidRPr="00C82D67" w:rsidRDefault="00F27E78" w:rsidP="00F2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>Specialista in Medicina del Lavoro</w:t>
      </w: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</w:p>
    <w:p w14:paraId="41B5FE31" w14:textId="7A43ABBA" w:rsidR="00F27E78" w:rsidRPr="00C82D67" w:rsidRDefault="00F27E78" w:rsidP="00F2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Ricercatore Universitario di Ruolo – Cattedra di Medicina del Lavoro </w:t>
      </w:r>
      <w:r w:rsidR="00C82D67"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Università </w:t>
      </w: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>di Palermo</w:t>
      </w:r>
    </w:p>
    <w:p w14:paraId="7DE56FD8" w14:textId="77777777" w:rsidR="00F27E78" w:rsidRPr="00C82D67" w:rsidRDefault="00F27E78" w:rsidP="00F2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>Studio: Via Giuseppe Alessi 25 - 90143 PALERMO</w:t>
      </w: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</w:p>
    <w:p w14:paraId="6600ADB3" w14:textId="77777777" w:rsidR="00F27E78" w:rsidRPr="00F27E78" w:rsidRDefault="00F27E78" w:rsidP="00F2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it-IT"/>
        </w:rPr>
      </w:pPr>
      <w:r w:rsidRPr="00C82D67">
        <w:rPr>
          <w:rFonts w:ascii="Times New Roman" w:eastAsia="Times New Roman" w:hAnsi="Times New Roman"/>
          <w:i/>
          <w:sz w:val="24"/>
          <w:szCs w:val="24"/>
          <w:lang w:eastAsia="it-IT"/>
        </w:rPr>
        <w:t>Tel. 0917300565</w:t>
      </w:r>
      <w:r w:rsidRPr="00F27E78">
        <w:rPr>
          <w:rFonts w:ascii="Times New Roman" w:eastAsia="Times New Roman" w:hAnsi="Times New Roman"/>
          <w:i/>
          <w:sz w:val="28"/>
          <w:szCs w:val="28"/>
          <w:lang w:eastAsia="it-IT"/>
        </w:rPr>
        <w:tab/>
      </w:r>
      <w:r w:rsidRPr="00F27E78">
        <w:rPr>
          <w:rFonts w:ascii="Times New Roman" w:eastAsia="Times New Roman" w:hAnsi="Times New Roman"/>
          <w:i/>
          <w:sz w:val="28"/>
          <w:szCs w:val="28"/>
          <w:lang w:eastAsia="it-IT"/>
        </w:rPr>
        <w:tab/>
      </w:r>
    </w:p>
    <w:p w14:paraId="43148C29" w14:textId="77777777" w:rsidR="00BE3AD0" w:rsidRDefault="00BE3AD0" w:rsidP="00BE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14C76396" w14:textId="543374C2" w:rsidR="005A7753" w:rsidRPr="005A7753" w:rsidRDefault="005A7753" w:rsidP="005A775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bCs/>
          <w:color w:val="26282A"/>
          <w:sz w:val="28"/>
          <w:szCs w:val="20"/>
          <w:lang w:eastAsia="it-IT"/>
        </w:rPr>
      </w:pPr>
      <w:r w:rsidRPr="005A7753">
        <w:rPr>
          <w:rFonts w:ascii="Times New Roman" w:eastAsia="Times New Roman" w:hAnsi="Times New Roman"/>
          <w:b/>
          <w:bCs/>
          <w:color w:val="26282A"/>
          <w:sz w:val="28"/>
          <w:szCs w:val="20"/>
          <w:lang w:eastAsia="it-IT"/>
        </w:rPr>
        <w:t xml:space="preserve">Spett.le </w:t>
      </w:r>
      <w:r>
        <w:rPr>
          <w:rFonts w:ascii="Times New Roman" w:eastAsia="Times New Roman" w:hAnsi="Times New Roman"/>
          <w:b/>
          <w:bCs/>
          <w:color w:val="26282A"/>
          <w:sz w:val="28"/>
          <w:szCs w:val="20"/>
          <w:lang w:eastAsia="it-IT"/>
        </w:rPr>
        <w:t>Istituto</w:t>
      </w:r>
    </w:p>
    <w:p w14:paraId="40441BB7" w14:textId="77777777" w:rsidR="005A7753" w:rsidRPr="005A7753" w:rsidRDefault="005A7753" w:rsidP="005A7753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5A7753">
        <w:rPr>
          <w:rFonts w:ascii="Times New Roman" w:eastAsia="Times New Roman" w:hAnsi="Times New Roman"/>
          <w:b/>
          <w:bCs/>
          <w:color w:val="26282A"/>
          <w:sz w:val="28"/>
          <w:szCs w:val="20"/>
          <w:lang w:eastAsia="it-IT"/>
        </w:rPr>
        <w:t>c.a. Dirigente Scolastico</w:t>
      </w:r>
    </w:p>
    <w:p w14:paraId="0651DC76" w14:textId="77777777" w:rsidR="007A4506" w:rsidRDefault="007A4506" w:rsidP="00BE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0D834CFF" w14:textId="77777777" w:rsidR="007A4506" w:rsidRDefault="007A4506" w:rsidP="00BE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3596A9A1" w14:textId="5A3B051C" w:rsidR="001C0393" w:rsidRDefault="005A7753" w:rsidP="00BE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26282A"/>
          <w:sz w:val="28"/>
          <w:szCs w:val="20"/>
          <w:u w:val="single"/>
          <w:lang w:eastAsia="it-IT"/>
        </w:rPr>
      </w:pPr>
      <w:r w:rsidRPr="005A7753">
        <w:rPr>
          <w:rFonts w:ascii="Times New Roman" w:eastAsia="Times New Roman" w:hAnsi="Times New Roman"/>
          <w:b/>
          <w:bCs/>
          <w:color w:val="26282A"/>
          <w:sz w:val="28"/>
          <w:szCs w:val="20"/>
          <w:lang w:eastAsia="it-IT"/>
        </w:rPr>
        <w:t xml:space="preserve">Oggetto: </w:t>
      </w:r>
      <w:bookmarkStart w:id="1" w:name="_Hlk48228275"/>
      <w:r w:rsidRPr="005A7753">
        <w:rPr>
          <w:rFonts w:ascii="Times New Roman" w:eastAsia="Times New Roman" w:hAnsi="Times New Roman"/>
          <w:bCs/>
          <w:color w:val="26282A"/>
          <w:sz w:val="28"/>
          <w:szCs w:val="20"/>
          <w:u w:val="single"/>
          <w:lang w:eastAsia="it-IT"/>
        </w:rPr>
        <w:t>Nuovo coronavirus (SARS-CoV-2). Tutela lavoratore “fragile”</w:t>
      </w:r>
      <w:bookmarkEnd w:id="1"/>
      <w:r w:rsidR="001C0393">
        <w:rPr>
          <w:rFonts w:ascii="Times New Roman" w:eastAsia="Times New Roman" w:hAnsi="Times New Roman"/>
          <w:bCs/>
          <w:color w:val="26282A"/>
          <w:sz w:val="28"/>
          <w:szCs w:val="20"/>
          <w:u w:val="single"/>
          <w:lang w:eastAsia="it-IT"/>
        </w:rPr>
        <w:t xml:space="preserve"> – </w:t>
      </w:r>
    </w:p>
    <w:p w14:paraId="0BC63C68" w14:textId="3FF8A63A" w:rsidR="005A7753" w:rsidRDefault="001C0393" w:rsidP="00BE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1C0393">
        <w:rPr>
          <w:rFonts w:ascii="Times New Roman" w:eastAsia="Times New Roman" w:hAnsi="Times New Roman"/>
          <w:bCs/>
          <w:color w:val="26282A"/>
          <w:sz w:val="28"/>
          <w:szCs w:val="20"/>
          <w:lang w:eastAsia="it-IT"/>
        </w:rPr>
        <w:t xml:space="preserve">                </w:t>
      </w:r>
      <w:r>
        <w:rPr>
          <w:rFonts w:ascii="Times New Roman" w:eastAsia="Times New Roman" w:hAnsi="Times New Roman"/>
          <w:bCs/>
          <w:color w:val="26282A"/>
          <w:sz w:val="28"/>
          <w:szCs w:val="20"/>
          <w:u w:val="single"/>
          <w:lang w:eastAsia="it-IT"/>
        </w:rPr>
        <w:t>Aggiornamento</w:t>
      </w:r>
    </w:p>
    <w:p w14:paraId="05C803C5" w14:textId="77777777" w:rsidR="005A7753" w:rsidRPr="00242144" w:rsidRDefault="005A7753" w:rsidP="00BE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4D7895EF" w14:textId="56C6A698" w:rsidR="00242144" w:rsidRDefault="005A7753" w:rsidP="00C619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</w:pP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C</w:t>
      </w:r>
      <w:r w:rsidR="00F96761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onsiderato che</w:t>
      </w:r>
      <w:r w:rsidR="00EA362C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il Decreto Legge n.83 del 30.07.2020</w:t>
      </w:r>
      <w:r w:rsidR="00F96761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ha</w:t>
      </w:r>
      <w:r w:rsidR="00EA362C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proroga</w:t>
      </w:r>
      <w:r w:rsidR="00F96761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to</w:t>
      </w:r>
      <w:r w:rsidR="00EA362C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lo stato di </w:t>
      </w:r>
      <w:r w:rsidR="00F96761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e</w:t>
      </w:r>
      <w:r w:rsidR="00EA362C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mergenza </w:t>
      </w:r>
      <w:r w:rsidR="00BB71E7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epidemiologica</w:t>
      </w:r>
      <w:r w:rsidR="00F96761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n</w:t>
      </w:r>
      <w:r w:rsidR="00EA362C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azionale</w:t>
      </w:r>
      <w:r w:rsidR="00BB71E7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da COVID-19 al 15 </w:t>
      </w:r>
      <w:r w:rsidR="00DE2D2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Ottobre 2020</w:t>
      </w:r>
      <w:r w:rsidR="00EA362C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, appare opportuno che il </w:t>
      </w:r>
      <w:r w:rsidR="000B5062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Dirigente Scolastico</w:t>
      </w:r>
      <w:r w:rsidR="00EA362C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 reiteri la circolare già emessa in precedenza con oggetto </w:t>
      </w:r>
      <w:r w:rsidRPr="005A7753">
        <w:rPr>
          <w:rFonts w:ascii="Times New Roman" w:eastAsia="Times New Roman" w:hAnsi="Times New Roman"/>
          <w:bCs/>
          <w:i/>
          <w:color w:val="26282A"/>
          <w:sz w:val="28"/>
          <w:szCs w:val="20"/>
          <w:u w:val="single"/>
          <w:lang w:eastAsia="it-IT"/>
        </w:rPr>
        <w:t>Nuovo coronavirus (SARS-CoV-2). Tutela lavoratore “fragile”</w:t>
      </w: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, </w:t>
      </w:r>
      <w:r w:rsidRPr="005A775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>che si riporta qui di seguito</w:t>
      </w:r>
      <w:r w:rsidR="001C039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 xml:space="preserve"> con le opportune modifiche ed integrazioni.</w:t>
      </w:r>
    </w:p>
    <w:p w14:paraId="39223267" w14:textId="51BD6C7F" w:rsidR="005A7753" w:rsidRDefault="005A7753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</w:pPr>
      <w:r w:rsidRPr="005A775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 xml:space="preserve">In relazione all’oggetto, visto il </w:t>
      </w:r>
      <w:r w:rsidRPr="005A7753">
        <w:rPr>
          <w:rFonts w:ascii="Times New Roman" w:eastAsia="Times New Roman" w:hAnsi="Times New Roman"/>
          <w:i/>
          <w:iCs/>
          <w:color w:val="26282A"/>
          <w:sz w:val="28"/>
          <w:szCs w:val="20"/>
          <w:lang w:eastAsia="it-IT"/>
        </w:rPr>
        <w:t>protocollo condiviso di regolamentazione delle misure per il contrasto ed il contenimento della diffusione del virus COVID-19 negli ambienti di lavoro</w:t>
      </w:r>
      <w:r w:rsidRPr="005A775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 xml:space="preserve">, sottoscritto il 14 marzo 2020 tra Governo e Parti Sociali integrato e modificato il 24/04/2020 ed anche l’articolo 26, comma 2 del D. L. n. 18 del 17 marzo 2020 e </w:t>
      </w: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coerentemente con la raccomandazione riportata all’articolo 3 del decreto del Presidente del Consiglio dei ministri del 08 marzo 2020, confermata all’articolo 3 lett. b del DPCM del 26 aprile 2020 ed in coerenza con </w:t>
      </w:r>
      <w:r w:rsidRPr="005A775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>l'art. 83 D.L. 19.05.2020 n°34, in relazione alle c.d. visite mediche "eccezionali",</w:t>
      </w: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 particolare attenzione deve essere posta </w:t>
      </w: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u w:val="single"/>
          <w:lang w:eastAsia="it-IT"/>
        </w:rPr>
        <w:t>ai soggetti con situazioni di fragilità,</w:t>
      </w: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 </w:t>
      </w:r>
      <w:r w:rsidRPr="005A775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 xml:space="preserve">portatori di patologie attuali o pregresse </w:t>
      </w: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>per le quali si può essere maggiormente suscettibili al contagio e/o alle possibili complicanze per COVID-19.</w:t>
      </w:r>
    </w:p>
    <w:p w14:paraId="32C3B5AC" w14:textId="191D6838" w:rsidR="0072031F" w:rsidRDefault="0072031F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</w:pPr>
    </w:p>
    <w:p w14:paraId="1833F2EE" w14:textId="1BFB4BFC" w:rsidR="0072031F" w:rsidRDefault="0072031F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</w:pPr>
    </w:p>
    <w:p w14:paraId="129ECCE1" w14:textId="71268E68" w:rsidR="0072031F" w:rsidRDefault="0072031F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</w:pPr>
    </w:p>
    <w:p w14:paraId="6F320E3C" w14:textId="6E5907B5" w:rsidR="0072031F" w:rsidRDefault="0072031F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</w:pPr>
    </w:p>
    <w:p w14:paraId="6889AAF4" w14:textId="04704AC1" w:rsidR="0072031F" w:rsidRDefault="0072031F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</w:pPr>
    </w:p>
    <w:p w14:paraId="62F0881B" w14:textId="77777777" w:rsidR="0072031F" w:rsidRPr="005A7753" w:rsidRDefault="0072031F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</w:pPr>
    </w:p>
    <w:p w14:paraId="56402E52" w14:textId="1EE42001" w:rsidR="005A7753" w:rsidRPr="00242144" w:rsidRDefault="005A7753" w:rsidP="001C03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>A tal fine è opportuno che venga segnalato a tutti i lavoratori</w:t>
      </w:r>
      <w:r w:rsidR="0072031F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 </w:t>
      </w:r>
      <w:r w:rsidR="0072031F" w:rsidRPr="0072031F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>(assistenti amministrativi, collaboratori</w:t>
      </w:r>
      <w:r w:rsidR="0072031F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 scolastici, assistenti tecnici,</w:t>
      </w:r>
      <w:r w:rsidR="0072031F" w:rsidRPr="0072031F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 docenti)</w:t>
      </w:r>
      <w:r w:rsidRPr="005A7753">
        <w:rPr>
          <w:rFonts w:ascii="Times New Roman" w:eastAsia="Times New Roman" w:hAnsi="Times New Roman"/>
          <w:bCs/>
          <w:iCs/>
          <w:color w:val="26282A"/>
          <w:sz w:val="28"/>
          <w:szCs w:val="20"/>
          <w:lang w:eastAsia="it-IT"/>
        </w:rPr>
        <w:t xml:space="preserve"> che, se per motivi di salute, rientrano/ritengono di rientrare nella tipologia di soggetti prevista dalle norme (ossia nella situazione di particolare fragilità), </w:t>
      </w:r>
      <w:r w:rsidRPr="005A775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 xml:space="preserve">si devono rendere parte attiva nel segnalare tale condizione rivolgendosi al Medico Competente per il tramite del </w:t>
      </w:r>
      <w:r w:rsidR="009904C1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>Dirigente Scolastico</w:t>
      </w:r>
      <w:r w:rsidRPr="005A7753">
        <w:rPr>
          <w:rFonts w:ascii="Times New Roman" w:eastAsia="Times New Roman" w:hAnsi="Times New Roman"/>
          <w:iCs/>
          <w:color w:val="26282A"/>
          <w:sz w:val="28"/>
          <w:szCs w:val="20"/>
          <w:lang w:eastAsia="it-IT"/>
        </w:rPr>
        <w:t xml:space="preserve"> (al quale non andrà comunicato alcun dato clinico) per la valutazione del caso e gli eventuali provvedimenti.</w:t>
      </w:r>
    </w:p>
    <w:p w14:paraId="059F35FC" w14:textId="203360B3" w:rsidR="005A7753" w:rsidRPr="005A7753" w:rsidRDefault="00EA362C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Il lavoratore </w:t>
      </w:r>
      <w:r w:rsidR="00F27E78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dovrà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pertanto informare il </w:t>
      </w:r>
      <w:r w:rsidR="001C0393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Dirigente Scolastico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sulla richiesta di </w:t>
      </w:r>
      <w:r w:rsidRPr="001665AB">
        <w:rPr>
          <w:rFonts w:ascii="Times New Roman" w:eastAsia="Times New Roman" w:hAnsi="Times New Roman"/>
          <w:i/>
          <w:iCs/>
          <w:color w:val="26282A"/>
          <w:sz w:val="28"/>
          <w:szCs w:val="20"/>
          <w:u w:val="single"/>
          <w:lang w:eastAsia="it-IT"/>
        </w:rPr>
        <w:t>visita</w:t>
      </w:r>
      <w:r w:rsidR="001665AB" w:rsidRPr="001665AB">
        <w:rPr>
          <w:rFonts w:ascii="Times New Roman" w:eastAsia="Times New Roman" w:hAnsi="Times New Roman"/>
          <w:i/>
          <w:iCs/>
          <w:color w:val="26282A"/>
          <w:sz w:val="28"/>
          <w:szCs w:val="20"/>
          <w:u w:val="single"/>
          <w:lang w:eastAsia="it-IT"/>
        </w:rPr>
        <w:t xml:space="preserve"> medica</w:t>
      </w:r>
      <w:r w:rsidRPr="001665AB">
        <w:rPr>
          <w:rFonts w:ascii="Times New Roman" w:eastAsia="Times New Roman" w:hAnsi="Times New Roman"/>
          <w:i/>
          <w:iCs/>
          <w:color w:val="26282A"/>
          <w:sz w:val="28"/>
          <w:szCs w:val="20"/>
          <w:u w:val="single"/>
          <w:lang w:eastAsia="it-IT"/>
        </w:rPr>
        <w:t xml:space="preserve"> "straordinaria</w:t>
      </w:r>
      <w:r w:rsidRPr="001665AB">
        <w:rPr>
          <w:rFonts w:ascii="Times New Roman" w:eastAsia="Times New Roman" w:hAnsi="Times New Roman"/>
          <w:i/>
          <w:color w:val="26282A"/>
          <w:sz w:val="28"/>
          <w:szCs w:val="20"/>
          <w:u w:val="single"/>
          <w:lang w:eastAsia="it-IT"/>
        </w:rPr>
        <w:t>"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(a richiesta del lavoratore) ai sensi dell'art. 41, comma 2, lettera c) del D.Lgs 81</w:t>
      </w:r>
      <w:r w:rsidR="00242144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/2008</w:t>
      </w:r>
      <w:r w:rsidR="00F27E78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e ss.mm.ii.</w:t>
      </w:r>
      <w:r w:rsidR="00242144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</w:t>
      </w:r>
      <w:r w:rsidR="008F4A92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se già sottopost</w:t>
      </w:r>
      <w:r w:rsidR="005F7B1C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o</w:t>
      </w:r>
      <w:r w:rsidR="008F4A92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a sorveglianza sanitaria </w:t>
      </w:r>
      <w:r w:rsidR="001665AB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o di </w:t>
      </w:r>
      <w:r w:rsidR="001665AB" w:rsidRPr="001665AB">
        <w:rPr>
          <w:rFonts w:ascii="Times New Roman" w:eastAsia="Times New Roman" w:hAnsi="Times New Roman"/>
          <w:i/>
          <w:iCs/>
          <w:color w:val="26282A"/>
          <w:sz w:val="28"/>
          <w:szCs w:val="20"/>
          <w:u w:val="single"/>
          <w:lang w:eastAsia="it-IT"/>
        </w:rPr>
        <w:t>visita medica</w:t>
      </w:r>
      <w:r w:rsidR="0072031F">
        <w:rPr>
          <w:rFonts w:ascii="Times New Roman" w:eastAsia="Times New Roman" w:hAnsi="Times New Roman"/>
          <w:i/>
          <w:iCs/>
          <w:color w:val="26282A"/>
          <w:sz w:val="28"/>
          <w:szCs w:val="20"/>
          <w:u w:val="single"/>
          <w:lang w:eastAsia="it-IT"/>
        </w:rPr>
        <w:t xml:space="preserve"> </w:t>
      </w:r>
      <w:r w:rsidR="001665AB" w:rsidRPr="001665AB">
        <w:rPr>
          <w:rFonts w:ascii="Times New Roman" w:eastAsia="Times New Roman" w:hAnsi="Times New Roman"/>
          <w:i/>
          <w:iCs/>
          <w:color w:val="26282A"/>
          <w:sz w:val="28"/>
          <w:szCs w:val="20"/>
          <w:u w:val="single"/>
          <w:lang w:eastAsia="it-IT"/>
        </w:rPr>
        <w:t>“eccezionale”</w:t>
      </w:r>
      <w:r w:rsidR="001665AB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ai sensi dell’</w:t>
      </w:r>
      <w:r w:rsidR="001665AB" w:rsidRPr="001665AB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art.83 del D. Lgs. n°34 del 19/05/2020 </w:t>
      </w:r>
      <w:r w:rsidR="00242144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e contestualmente inviare 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ESCLUSIVAMENTE alla mail personale de</w:t>
      </w:r>
      <w:r w:rsidR="00242144" w:rsidRPr="00242144">
        <w:rPr>
          <w:rFonts w:ascii="Times New Roman" w:eastAsia="Times New Roman" w:hAnsi="Times New Roman"/>
          <w:color w:val="000000"/>
          <w:sz w:val="28"/>
          <w:szCs w:val="20"/>
          <w:lang w:eastAsia="it-IT"/>
        </w:rPr>
        <w:t xml:space="preserve">l Medico </w:t>
      </w:r>
      <w:r w:rsidRPr="00242144">
        <w:rPr>
          <w:rFonts w:ascii="Times New Roman" w:eastAsia="Times New Roman" w:hAnsi="Times New Roman"/>
          <w:color w:val="000000"/>
          <w:sz w:val="28"/>
          <w:szCs w:val="20"/>
          <w:lang w:eastAsia="it-IT"/>
        </w:rPr>
        <w:t>Competente</w:t>
      </w:r>
      <w:r w:rsidR="001665AB">
        <w:rPr>
          <w:rFonts w:ascii="Times New Roman" w:eastAsia="Times New Roman" w:hAnsi="Times New Roman"/>
          <w:color w:val="000000"/>
          <w:sz w:val="28"/>
          <w:szCs w:val="20"/>
          <w:lang w:eastAsia="it-IT"/>
        </w:rPr>
        <w:t xml:space="preserve"> </w:t>
      </w:r>
      <w:r w:rsidR="00AD65F5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(</w:t>
      </w:r>
      <w:r w:rsidR="007F242B" w:rsidRPr="0072031F">
        <w:rPr>
          <w:rFonts w:ascii="Times New Roman" w:eastAsia="Times New Roman" w:hAnsi="Times New Roman"/>
          <w:b/>
          <w:bCs/>
          <w:i/>
          <w:color w:val="26282A"/>
          <w:sz w:val="28"/>
          <w:szCs w:val="20"/>
          <w:lang w:eastAsia="it-IT"/>
        </w:rPr>
        <w:t>guidolacca@</w:t>
      </w:r>
      <w:r w:rsidR="00BE3AD0" w:rsidRPr="0072031F">
        <w:rPr>
          <w:rFonts w:ascii="Times New Roman" w:eastAsia="Times New Roman" w:hAnsi="Times New Roman"/>
          <w:b/>
          <w:bCs/>
          <w:i/>
          <w:color w:val="26282A"/>
          <w:sz w:val="28"/>
          <w:szCs w:val="20"/>
          <w:lang w:eastAsia="it-IT"/>
        </w:rPr>
        <w:t>libero.it</w:t>
      </w:r>
      <w:r w:rsidR="00AD65F5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) entro e non oltre il </w:t>
      </w:r>
      <w:r w:rsidR="00E9502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01/09</w:t>
      </w:r>
      <w:r w:rsidR="00AD65F5"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/2020</w:t>
      </w:r>
      <w:r w:rsidR="00F96761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, </w:t>
      </w:r>
      <w:r w:rsidR="005A7753" w:rsidRPr="005A7753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il modulo “allegato 1”, accompagnato da certificazione medica (documentazione del Medico di Medicina Generale e/o di Medici specialisti appartenenti al Sistema Sanitario o con esso convenzionati) al fine di permettere al Medico Competente di valutare le specifiche condizioni cliniche e la presenza o meno di situazioni di fragilità per i successivi eventuali adempimenti a sua tutela.</w:t>
      </w:r>
    </w:p>
    <w:p w14:paraId="3CBD935D" w14:textId="64213AE5" w:rsidR="00EA362C" w:rsidRDefault="00EA362C" w:rsidP="00BE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Sarà cura del Medico Competente effettuare </w:t>
      </w:r>
      <w:r w:rsidR="001665AB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la valutazione clinica</w:t>
      </w:r>
      <w:r w:rsidR="00F27E78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ed esprimere </w:t>
      </w:r>
      <w:r w:rsidR="001665AB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il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giudizio di i</w:t>
      </w:r>
      <w:r w:rsidR="00F27E78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doneità alla mansione specifica</w:t>
      </w:r>
      <w:r w:rsidR="001665AB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e/o il</w:t>
      </w:r>
      <w:r w:rsidR="00F27E78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parere medico sulla condizione</w:t>
      </w:r>
      <w:r w:rsidR="003F508C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di fragilità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</w:t>
      </w:r>
      <w:r w:rsidR="001665AB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con le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</w:t>
      </w:r>
      <w:r w:rsidR="009904C1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doverose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misure </w:t>
      </w:r>
      <w:r w:rsidR="00F27E78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di prevenzione e protezione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(es.</w:t>
      </w:r>
      <w:r w:rsidR="002B550D" w:rsidRPr="002B550D">
        <w:t xml:space="preserve"> </w:t>
      </w:r>
      <w:r w:rsidR="002B550D" w:rsidRP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adozione smart working;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lavoro in solitario</w:t>
      </w:r>
      <w:r w:rsidR="002B550D" w:rsidRP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;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</w:t>
      </w:r>
      <w:r w:rsidR="002B550D" w:rsidRP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fornitura DPI aggiuntivi ecc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.</w:t>
      </w:r>
      <w:r w:rsidR="002B550D" w:rsidRP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)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da </w:t>
      </w:r>
      <w:r w:rsidR="00FD0760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adottare</w:t>
      </w:r>
      <w:r w:rsidRPr="0024214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ove necessarie</w:t>
      </w:r>
      <w:r w:rsidR="00FD0760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nei confronti del Lavoratore</w:t>
      </w:r>
      <w:r w:rsidR="001C0393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.</w:t>
      </w:r>
    </w:p>
    <w:p w14:paraId="030C692D" w14:textId="1AF79971" w:rsidR="005A7753" w:rsidRDefault="005A7753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5A7753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L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’esito </w:t>
      </w:r>
      <w:r w:rsidR="007A4A18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(giudizio di idoneità e/o parere medico)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sarà trasmesso </w:t>
      </w:r>
      <w:r w:rsidRPr="005A7753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</w:t>
      </w:r>
      <w:r w:rsidRPr="005A7753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l Medico Competente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al Dirigente Scolastico</w:t>
      </w:r>
      <w:r w:rsidRPr="005A7753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, sempre nel rispetto della privacy e del segreto professionale.</w:t>
      </w:r>
    </w:p>
    <w:p w14:paraId="7DFFB808" w14:textId="5644197E" w:rsidR="001C0393" w:rsidRDefault="001C0393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0D92EA17" w14:textId="582B3CBC" w:rsidR="001C0393" w:rsidRDefault="001C0393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0DC5E3F9" w14:textId="7BC77B9B" w:rsidR="001C0393" w:rsidRDefault="001C0393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2EDDD355" w14:textId="0F013E9F" w:rsidR="001C0393" w:rsidRDefault="001C0393" w:rsidP="005A77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7B2A5DC1" w14:textId="77777777" w:rsidR="007A4A18" w:rsidRDefault="007A4A18" w:rsidP="00945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526E0CE9" w14:textId="7526C56D" w:rsidR="00945CE5" w:rsidRDefault="00945CE5" w:rsidP="00945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Per quanto sopra si riportano di seguito, a titolo puramente esemplificativo e non esaustivo, alcune condizioni patologiche, riprese da elenchi riportati dalle principali </w:t>
      </w:r>
      <w:r w:rsidR="00493654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società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 scientifiche, che possono costituire una situazione di particolare fragilità in caso di infezione da </w:t>
      </w:r>
      <w:r w:rsidRPr="00945CE5">
        <w:rPr>
          <w:rFonts w:ascii="Times New Roman" w:eastAsia="Times New Roman" w:hAnsi="Times New Roman"/>
          <w:bCs/>
          <w:color w:val="26282A"/>
          <w:sz w:val="28"/>
          <w:szCs w:val="20"/>
          <w:lang w:eastAsia="it-IT"/>
        </w:rPr>
        <w:t>SARS-CoV-2:</w:t>
      </w:r>
    </w:p>
    <w:p w14:paraId="62F22414" w14:textId="2B8F838D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condizioni di immunodepressione e/o immunodeficienza primarie (malattie congenite ereditarie) o secondarie a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d 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altre patologie (tumori maligni, in particolare leucemie e linfomi, Aplasie midollari, infezione da HIV (AIDS) o a terapie (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c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ortisonici,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c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hemioterapici, altri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i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mmunosoppressori nelle malattie autoimmuni);</w:t>
      </w:r>
    </w:p>
    <w:p w14:paraId="7E5F0082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patologie oncologiche (tumori maligni);</w:t>
      </w:r>
    </w:p>
    <w:p w14:paraId="1DA374FD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patologie cardiache (ischemiche tipo infarto, angina e altre coronaropatie, ipertensione arteriosa grave e scompensata, insufficienza cardiaca, gravi aritmie, portatori di dispositivi medici tipo pacemaker e defibrillatore);</w:t>
      </w:r>
    </w:p>
    <w:p w14:paraId="22CBC7D5" w14:textId="5560D7A6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patologie broncopolmonari croniche (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b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roncopneumopatie croniche ostruttive,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sma Bronchiale grave,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c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uore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olmonare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c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ronico,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e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nfisema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olmonare,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b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ronchiettasie,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f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ibrosi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olmonari,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s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arcoidosi, 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e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mbolia polmonare);</w:t>
      </w:r>
    </w:p>
    <w:p w14:paraId="7EBDF983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diabete mellito specie se scompensato e/o insulinodipendente ;</w:t>
      </w:r>
    </w:p>
    <w:p w14:paraId="591A0D33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obesità (specie se BMI &gt;35);</w:t>
      </w:r>
    </w:p>
    <w:p w14:paraId="57794C0C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insufficienza renale cronica;</w:t>
      </w:r>
    </w:p>
    <w:p w14:paraId="63673F20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insufficienza surrenale cronica;</w:t>
      </w:r>
    </w:p>
    <w:p w14:paraId="0AED9581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malattie degli organi emopoietici ed emoglobinopatie (aplasie midollari, gravi anemie);</w:t>
      </w:r>
    </w:p>
    <w:p w14:paraId="578D3866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malattie infiammatorie croniche e sindromi da malassorbimento intestinali;</w:t>
      </w:r>
    </w:p>
    <w:p w14:paraId="5FB98648" w14:textId="576C6F03" w:rsid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reumopatie sistemiche (</w:t>
      </w:r>
      <w:r w:rsidR="002B550D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a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rtrite reumatoide, Lupus Eritematosus Sistemicus, collagenopatie e connettiviti sistemiche croniche);</w:t>
      </w:r>
    </w:p>
    <w:p w14:paraId="75EB9B48" w14:textId="6AB10726" w:rsidR="001C0393" w:rsidRDefault="001C0393" w:rsidP="001C03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246C2F86" w14:textId="6567DEAD" w:rsidR="001C0393" w:rsidRDefault="001C0393" w:rsidP="001C03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5CD67920" w14:textId="2AF19825" w:rsidR="001C0393" w:rsidRDefault="001C0393" w:rsidP="001C03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11667CEA" w14:textId="23D2DCB3" w:rsidR="001C0393" w:rsidRDefault="001C0393" w:rsidP="001C03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6B6981A3" w14:textId="77777777" w:rsidR="001C0393" w:rsidRPr="00945CE5" w:rsidRDefault="001C0393" w:rsidP="001C03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6B616134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epatopatie croniche gravi (cirrosi epatica e simili);</w:t>
      </w:r>
    </w:p>
    <w:p w14:paraId="11DAFB0F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patologie per le quali sono programmati importanti interventi chirurgici;</w:t>
      </w:r>
    </w:p>
    <w:p w14:paraId="18DE28F9" w14:textId="77777777" w:rsidR="00945CE5" w:rsidRPr="00945CE5" w:rsidRDefault="00945CE5" w:rsidP="00945C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malattie neuromuscolari e gravi patologie neurologiche.</w:t>
      </w:r>
    </w:p>
    <w:p w14:paraId="2225D6C2" w14:textId="73763D45" w:rsidR="002B550D" w:rsidRPr="00945CE5" w:rsidRDefault="00945CE5" w:rsidP="00945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  <w:t>Particolare valutazione andrà posta anche nei confronti di soggetti anziani ed a situazioni di multimorbilità.</w:t>
      </w:r>
    </w:p>
    <w:p w14:paraId="288370E0" w14:textId="10EACCC2" w:rsidR="00945CE5" w:rsidRDefault="00945CE5" w:rsidP="00945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 w:rsidR="00FA3AC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Sarà utilizzato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, in</w:t>
      </w:r>
      <w:r w:rsidR="00FD0760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fine</w:t>
      </w:r>
      <w:r w:rsidRPr="00945CE5"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, un approccio cautelativo nei confronti delle donne in gravidanza (lavoro agile o valutazione specifica dove ciò non fosse possibile).</w:t>
      </w:r>
    </w:p>
    <w:p w14:paraId="1A8A8B6F" w14:textId="77777777" w:rsidR="002B550D" w:rsidRPr="00945CE5" w:rsidRDefault="002B550D" w:rsidP="00945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2877D8DD" w14:textId="77777777" w:rsidR="002B550D" w:rsidRDefault="00AD65F5" w:rsidP="00EA362C">
      <w:pPr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 xml:space="preserve">Distinti Saluti </w:t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</w:p>
    <w:p w14:paraId="41A4F555" w14:textId="5013F3AB" w:rsidR="00242144" w:rsidRDefault="00AD65F5" w:rsidP="00EA362C">
      <w:pPr>
        <w:jc w:val="both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</w:p>
    <w:p w14:paraId="34989F25" w14:textId="69D9FED9" w:rsidR="002B550D" w:rsidRDefault="00242144">
      <w:pP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 w:rsidRPr="003F508C">
        <w:rPr>
          <w:rFonts w:ascii="Times New Roman" w:eastAsia="Times New Roman" w:hAnsi="Times New Roman"/>
          <w:i/>
          <w:color w:val="26282A"/>
          <w:sz w:val="28"/>
          <w:szCs w:val="20"/>
          <w:lang w:eastAsia="it-IT"/>
        </w:rPr>
        <w:t xml:space="preserve">Palermo, </w:t>
      </w:r>
      <w:r w:rsidR="00E95024">
        <w:rPr>
          <w:rFonts w:ascii="Times New Roman" w:eastAsia="Times New Roman" w:hAnsi="Times New Roman"/>
          <w:i/>
          <w:color w:val="26282A"/>
          <w:sz w:val="28"/>
          <w:szCs w:val="20"/>
          <w:lang w:eastAsia="it-IT"/>
        </w:rPr>
        <w:t>27</w:t>
      </w:r>
      <w:r w:rsidR="00F27E78" w:rsidRPr="003F508C">
        <w:rPr>
          <w:rFonts w:ascii="Times New Roman" w:eastAsia="Times New Roman" w:hAnsi="Times New Roman"/>
          <w:i/>
          <w:color w:val="26282A"/>
          <w:sz w:val="28"/>
          <w:szCs w:val="20"/>
          <w:lang w:eastAsia="it-IT"/>
        </w:rPr>
        <w:t>/08/2020</w:t>
      </w:r>
      <w:r w:rsidRPr="003F508C">
        <w:rPr>
          <w:rFonts w:ascii="Times New Roman" w:eastAsia="Times New Roman" w:hAnsi="Times New Roman"/>
          <w:i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</w:p>
    <w:p w14:paraId="44E8303E" w14:textId="77777777" w:rsidR="002B550D" w:rsidRDefault="002B550D">
      <w:pP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</w:p>
    <w:p w14:paraId="70648908" w14:textId="5E1E2116" w:rsidR="00242144" w:rsidRDefault="00242144" w:rsidP="002B550D">
      <w:pPr>
        <w:ind w:left="6372"/>
        <w:rPr>
          <w:rFonts w:ascii="Times New Roman" w:eastAsia="Times New Roman" w:hAnsi="Times New Roman"/>
          <w:color w:val="26282A"/>
          <w:sz w:val="28"/>
          <w:szCs w:val="20"/>
          <w:lang w:eastAsia="it-IT"/>
        </w:rPr>
      </w:pP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>Il Medico Competente</w:t>
      </w:r>
    </w:p>
    <w:p w14:paraId="5BE9D8DD" w14:textId="77777777" w:rsidR="00EB0D62" w:rsidRPr="00E9624B" w:rsidRDefault="00242144">
      <w:pPr>
        <w:rPr>
          <w:sz w:val="16"/>
          <w:szCs w:val="16"/>
        </w:rPr>
      </w:pP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rPr>
          <w:rFonts w:ascii="Times New Roman" w:eastAsia="Times New Roman" w:hAnsi="Times New Roman"/>
          <w:color w:val="26282A"/>
          <w:sz w:val="28"/>
          <w:szCs w:val="20"/>
          <w:lang w:eastAsia="it-IT"/>
        </w:rPr>
        <w:tab/>
      </w:r>
      <w:r>
        <w:tab/>
      </w:r>
      <w:r>
        <w:tab/>
      </w:r>
      <w:r w:rsidR="00C619F4">
        <w:t xml:space="preserve">                                                   </w:t>
      </w:r>
      <w:r w:rsidR="00C619F4">
        <w:tab/>
      </w:r>
      <w:r w:rsidR="00C619F4">
        <w:tab/>
      </w:r>
      <w:r w:rsidR="00C619F4">
        <w:tab/>
      </w:r>
      <w:r w:rsidR="00C619F4">
        <w:tab/>
      </w:r>
      <w:r w:rsidR="00C619F4">
        <w:tab/>
      </w:r>
      <w:r w:rsidR="00C619F4">
        <w:tab/>
      </w:r>
      <w:r w:rsidR="00C619F4">
        <w:tab/>
      </w:r>
      <w:r>
        <w:tab/>
      </w:r>
      <w:r w:rsidR="00C619F4">
        <w:rPr>
          <w:noProof/>
          <w:lang w:eastAsia="it-IT"/>
        </w:rPr>
        <w:drawing>
          <wp:inline distT="0" distB="0" distL="0" distR="0" wp14:anchorId="353171EC" wp14:editId="44EC4A31">
            <wp:extent cx="2519680" cy="14499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83" cy="14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19F4">
        <w:t xml:space="preserve">   </w:t>
      </w:r>
      <w:r w:rsidR="00EB0D62">
        <w:br w:type="textWrapping" w:clear="all"/>
      </w:r>
    </w:p>
    <w:sectPr w:rsidR="00EB0D62" w:rsidRPr="00E9624B" w:rsidSect="00DA45AA">
      <w:footerReference w:type="default" r:id="rId10"/>
      <w:headerReference w:type="first" r:id="rId11"/>
      <w:footerReference w:type="first" r:id="rId12"/>
      <w:pgSz w:w="11906" w:h="16838" w:code="9"/>
      <w:pgMar w:top="284" w:right="1134" w:bottom="284" w:left="1134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E198" w14:textId="77777777" w:rsidR="0016519B" w:rsidRDefault="0016519B" w:rsidP="00E5724F">
      <w:pPr>
        <w:spacing w:after="0" w:line="240" w:lineRule="auto"/>
      </w:pPr>
      <w:r>
        <w:separator/>
      </w:r>
    </w:p>
  </w:endnote>
  <w:endnote w:type="continuationSeparator" w:id="0">
    <w:p w14:paraId="53694F16" w14:textId="77777777" w:rsidR="0016519B" w:rsidRDefault="0016519B" w:rsidP="00E5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8"/>
      <w:gridCol w:w="861"/>
    </w:tblGrid>
    <w:tr w:rsidR="00EB0D62" w:rsidRPr="008141FC" w14:paraId="424053B2" w14:textId="77777777" w:rsidTr="00EB0D62">
      <w:trPr>
        <w:trHeight w:val="350"/>
      </w:trPr>
      <w:tc>
        <w:tcPr>
          <w:tcW w:w="4573" w:type="pct"/>
          <w:tcBorders>
            <w:top w:val="single" w:sz="4" w:space="0" w:color="000000"/>
          </w:tcBorders>
        </w:tcPr>
        <w:p w14:paraId="2EF60797" w14:textId="0ADBCD54" w:rsidR="00EB0D62" w:rsidRPr="008141FC" w:rsidRDefault="00945CE5" w:rsidP="00EB0D62">
          <w:pPr>
            <w:pStyle w:val="Pidipagina"/>
            <w:ind w:hanging="567"/>
            <w:jc w:val="right"/>
          </w:pPr>
          <w:r w:rsidRPr="00C82D67">
            <w:rPr>
              <w:b/>
              <w:sz w:val="18"/>
              <w:szCs w:val="18"/>
            </w:rPr>
            <w:t xml:space="preserve">Dott. Guido Lacca    </w:t>
          </w:r>
          <w:r w:rsidRPr="00C82D67">
            <w:rPr>
              <w:b/>
              <w:i/>
              <w:iCs/>
              <w:sz w:val="16"/>
              <w:szCs w:val="16"/>
            </w:rPr>
            <w:t>Via Giuseppe Alessi,</w:t>
          </w:r>
          <w:r w:rsidR="00C82D67" w:rsidRPr="00C82D67">
            <w:rPr>
              <w:b/>
              <w:i/>
              <w:iCs/>
              <w:sz w:val="16"/>
              <w:szCs w:val="16"/>
            </w:rPr>
            <w:t xml:space="preserve"> </w:t>
          </w:r>
          <w:r w:rsidRPr="00C82D67">
            <w:rPr>
              <w:b/>
              <w:i/>
              <w:iCs/>
              <w:sz w:val="16"/>
              <w:szCs w:val="16"/>
            </w:rPr>
            <w:t>25 - 90143 Palermo (PA) -Tel. 0917300565 - Tel/Fax 091/9774985 – Tel. 091/7785021</w:t>
          </w:r>
          <w:r w:rsidRPr="00945CE5">
            <w:rPr>
              <w:b/>
              <w:sz w:val="16"/>
              <w:szCs w:val="16"/>
            </w:rPr>
            <w:t xml:space="preserve">          </w:t>
          </w:r>
        </w:p>
      </w:tc>
      <w:tc>
        <w:tcPr>
          <w:tcW w:w="427" w:type="pct"/>
          <w:tcBorders>
            <w:top w:val="single" w:sz="4" w:space="0" w:color="C0504D"/>
          </w:tcBorders>
          <w:shd w:val="clear" w:color="auto" w:fill="943634"/>
        </w:tcPr>
        <w:p w14:paraId="2F8E0865" w14:textId="1382300C" w:rsidR="00EB0D62" w:rsidRPr="008141FC" w:rsidRDefault="007756FE" w:rsidP="00EB0D62">
          <w:pPr>
            <w:pStyle w:val="Intestazione"/>
            <w:ind w:left="442" w:hanging="215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38F1" w:rsidRPr="00A438F1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  <w:p w14:paraId="76E4CAAD" w14:textId="77777777" w:rsidR="00EB0D62" w:rsidRPr="008141FC" w:rsidRDefault="00EB0D62" w:rsidP="00EB0D62"/>
      </w:tc>
    </w:tr>
  </w:tbl>
  <w:p w14:paraId="38D7AF74" w14:textId="77777777" w:rsidR="00EB0D62" w:rsidRDefault="00EB0D62" w:rsidP="00EB0D6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60DD" w14:textId="77777777" w:rsidR="00945CE5" w:rsidRDefault="00945CE5"/>
  <w:tbl>
    <w:tblPr>
      <w:tblW w:w="538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2"/>
      <w:gridCol w:w="692"/>
    </w:tblGrid>
    <w:tr w:rsidR="005D2D49" w14:paraId="65FC4DDB" w14:textId="77777777" w:rsidTr="00BD6A80">
      <w:trPr>
        <w:trHeight w:val="305"/>
      </w:trPr>
      <w:tc>
        <w:tcPr>
          <w:tcW w:w="4667" w:type="pct"/>
          <w:tcBorders>
            <w:top w:val="single" w:sz="4" w:space="0" w:color="000000" w:themeColor="text1"/>
          </w:tcBorders>
        </w:tcPr>
        <w:p w14:paraId="042DBB9D" w14:textId="12E3C71D" w:rsidR="005D2D49" w:rsidRDefault="00F27E78" w:rsidP="00F27E78">
          <w:pPr>
            <w:tabs>
              <w:tab w:val="left" w:pos="9666"/>
            </w:tabs>
            <w:ind w:right="-114" w:hanging="115"/>
            <w:jc w:val="center"/>
          </w:pPr>
          <w:r>
            <w:rPr>
              <w:b/>
              <w:sz w:val="16"/>
              <w:szCs w:val="16"/>
            </w:rPr>
            <w:t>Dott. Guido Lacca</w:t>
          </w:r>
          <w:r>
            <w:rPr>
              <w:sz w:val="16"/>
              <w:szCs w:val="16"/>
            </w:rPr>
            <w:t xml:space="preserve">   </w:t>
          </w:r>
          <w:r w:rsidR="005D2D49" w:rsidRPr="008141FC">
            <w:rPr>
              <w:sz w:val="16"/>
              <w:szCs w:val="16"/>
            </w:rPr>
            <w:t xml:space="preserve"> Via Giuseppe Alessi,25 - 90143 Palermo (PA) -Tel. 0917300565 - Tel/Fax 091/9774985</w:t>
          </w:r>
          <w:r w:rsidR="00BD6A80">
            <w:rPr>
              <w:sz w:val="16"/>
              <w:szCs w:val="16"/>
            </w:rPr>
            <w:t xml:space="preserve"> – Tel. 091/7785021</w:t>
          </w:r>
          <w:r w:rsidR="005D2D49" w:rsidRPr="008141FC">
            <w:rPr>
              <w:sz w:val="16"/>
              <w:szCs w:val="16"/>
            </w:rPr>
            <w:t xml:space="preserve"> </w:t>
          </w:r>
          <w:r w:rsidR="00BD6A80">
            <w:rPr>
              <w:sz w:val="16"/>
              <w:szCs w:val="16"/>
            </w:rPr>
            <w:t xml:space="preserve">        </w:t>
          </w:r>
          <w:r w:rsidR="00DA45AA">
            <w:rPr>
              <w:sz w:val="16"/>
              <w:szCs w:val="16"/>
            </w:rPr>
            <w:t xml:space="preserve"> </w:t>
          </w:r>
        </w:p>
      </w:tc>
      <w:tc>
        <w:tcPr>
          <w:tcW w:w="333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9831CFF" w14:textId="2C481E1A" w:rsidR="005D2D49" w:rsidRDefault="007756FE" w:rsidP="00DA45AA">
          <w:pPr>
            <w:pStyle w:val="Intestazione"/>
            <w:ind w:left="-52" w:firstLine="52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38F1" w:rsidRPr="00A438F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B43C7FE" w14:textId="77777777" w:rsidR="005D2D49" w:rsidRDefault="005D2D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617E" w14:textId="77777777" w:rsidR="0016519B" w:rsidRDefault="0016519B" w:rsidP="00E5724F">
      <w:pPr>
        <w:spacing w:after="0" w:line="240" w:lineRule="auto"/>
      </w:pPr>
      <w:r>
        <w:separator/>
      </w:r>
    </w:p>
  </w:footnote>
  <w:footnote w:type="continuationSeparator" w:id="0">
    <w:p w14:paraId="34D31BD0" w14:textId="77777777" w:rsidR="0016519B" w:rsidRDefault="0016519B" w:rsidP="00E5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C551" w14:textId="77777777" w:rsidR="00DA45AA" w:rsidRDefault="00DA45AA" w:rsidP="00DA45A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CBF"/>
    <w:multiLevelType w:val="multilevel"/>
    <w:tmpl w:val="2222F9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4B"/>
    <w:rsid w:val="00024BB5"/>
    <w:rsid w:val="0004660D"/>
    <w:rsid w:val="000535BD"/>
    <w:rsid w:val="000544DE"/>
    <w:rsid w:val="00094ED2"/>
    <w:rsid w:val="000B5062"/>
    <w:rsid w:val="000C49B4"/>
    <w:rsid w:val="00116B2A"/>
    <w:rsid w:val="00123113"/>
    <w:rsid w:val="0015261C"/>
    <w:rsid w:val="0016519B"/>
    <w:rsid w:val="001665AB"/>
    <w:rsid w:val="00185CAE"/>
    <w:rsid w:val="001916F4"/>
    <w:rsid w:val="00195925"/>
    <w:rsid w:val="001B5810"/>
    <w:rsid w:val="001C0393"/>
    <w:rsid w:val="001C03C9"/>
    <w:rsid w:val="001C062E"/>
    <w:rsid w:val="001C3FA9"/>
    <w:rsid w:val="001E5956"/>
    <w:rsid w:val="00227D34"/>
    <w:rsid w:val="00242144"/>
    <w:rsid w:val="0024781F"/>
    <w:rsid w:val="00266A52"/>
    <w:rsid w:val="002B550D"/>
    <w:rsid w:val="002C0B36"/>
    <w:rsid w:val="002C5D8B"/>
    <w:rsid w:val="002E73CD"/>
    <w:rsid w:val="003101C8"/>
    <w:rsid w:val="003205C1"/>
    <w:rsid w:val="003310B2"/>
    <w:rsid w:val="00335EFF"/>
    <w:rsid w:val="00393058"/>
    <w:rsid w:val="003A0BAF"/>
    <w:rsid w:val="003C7A21"/>
    <w:rsid w:val="003D0018"/>
    <w:rsid w:val="003F508C"/>
    <w:rsid w:val="003F62C1"/>
    <w:rsid w:val="0041355C"/>
    <w:rsid w:val="004320DD"/>
    <w:rsid w:val="00434D27"/>
    <w:rsid w:val="00441A51"/>
    <w:rsid w:val="004468F3"/>
    <w:rsid w:val="00454BCD"/>
    <w:rsid w:val="00465747"/>
    <w:rsid w:val="00493654"/>
    <w:rsid w:val="004C1582"/>
    <w:rsid w:val="004D2595"/>
    <w:rsid w:val="00523BE0"/>
    <w:rsid w:val="0052795C"/>
    <w:rsid w:val="00540AC8"/>
    <w:rsid w:val="00557DBF"/>
    <w:rsid w:val="00571EBB"/>
    <w:rsid w:val="005A7753"/>
    <w:rsid w:val="005B552E"/>
    <w:rsid w:val="005D0144"/>
    <w:rsid w:val="005D2D49"/>
    <w:rsid w:val="005D51A4"/>
    <w:rsid w:val="005D5646"/>
    <w:rsid w:val="005F2903"/>
    <w:rsid w:val="005F6BB1"/>
    <w:rsid w:val="005F7B1C"/>
    <w:rsid w:val="0060089F"/>
    <w:rsid w:val="00667D10"/>
    <w:rsid w:val="006828BF"/>
    <w:rsid w:val="006A6890"/>
    <w:rsid w:val="006B3AB5"/>
    <w:rsid w:val="006B6441"/>
    <w:rsid w:val="006C3D41"/>
    <w:rsid w:val="007012C8"/>
    <w:rsid w:val="00705CD9"/>
    <w:rsid w:val="0072031F"/>
    <w:rsid w:val="00753D22"/>
    <w:rsid w:val="007747C3"/>
    <w:rsid w:val="007756FE"/>
    <w:rsid w:val="0078270D"/>
    <w:rsid w:val="007A4506"/>
    <w:rsid w:val="007A4A18"/>
    <w:rsid w:val="007E5CFB"/>
    <w:rsid w:val="007F242B"/>
    <w:rsid w:val="008141FC"/>
    <w:rsid w:val="00831C04"/>
    <w:rsid w:val="00841B46"/>
    <w:rsid w:val="0086345A"/>
    <w:rsid w:val="008B2583"/>
    <w:rsid w:val="008D34E8"/>
    <w:rsid w:val="008E76E1"/>
    <w:rsid w:val="008F4A92"/>
    <w:rsid w:val="00945CE5"/>
    <w:rsid w:val="009655BB"/>
    <w:rsid w:val="009679D7"/>
    <w:rsid w:val="00972D92"/>
    <w:rsid w:val="00986A06"/>
    <w:rsid w:val="009904C1"/>
    <w:rsid w:val="00993C79"/>
    <w:rsid w:val="00994FBF"/>
    <w:rsid w:val="009B4124"/>
    <w:rsid w:val="009B4F21"/>
    <w:rsid w:val="009C6572"/>
    <w:rsid w:val="009D21B6"/>
    <w:rsid w:val="009E45F9"/>
    <w:rsid w:val="00A20ED2"/>
    <w:rsid w:val="00A35204"/>
    <w:rsid w:val="00A3584B"/>
    <w:rsid w:val="00A41BFB"/>
    <w:rsid w:val="00A438F1"/>
    <w:rsid w:val="00A80117"/>
    <w:rsid w:val="00A91812"/>
    <w:rsid w:val="00AC2FD6"/>
    <w:rsid w:val="00AC7D88"/>
    <w:rsid w:val="00AD65F5"/>
    <w:rsid w:val="00B170B0"/>
    <w:rsid w:val="00B90C4C"/>
    <w:rsid w:val="00BB71E7"/>
    <w:rsid w:val="00BC00A7"/>
    <w:rsid w:val="00BC1FFA"/>
    <w:rsid w:val="00BC3ACD"/>
    <w:rsid w:val="00BC714C"/>
    <w:rsid w:val="00BD6A80"/>
    <w:rsid w:val="00BE3AD0"/>
    <w:rsid w:val="00C249D5"/>
    <w:rsid w:val="00C31F83"/>
    <w:rsid w:val="00C5488F"/>
    <w:rsid w:val="00C55B38"/>
    <w:rsid w:val="00C619F4"/>
    <w:rsid w:val="00C8006D"/>
    <w:rsid w:val="00C82D67"/>
    <w:rsid w:val="00CA1E4B"/>
    <w:rsid w:val="00CE1664"/>
    <w:rsid w:val="00D44181"/>
    <w:rsid w:val="00DA2EB7"/>
    <w:rsid w:val="00DA45AA"/>
    <w:rsid w:val="00DE2D2D"/>
    <w:rsid w:val="00DF7589"/>
    <w:rsid w:val="00E20067"/>
    <w:rsid w:val="00E22E55"/>
    <w:rsid w:val="00E27B1B"/>
    <w:rsid w:val="00E35AFD"/>
    <w:rsid w:val="00E42198"/>
    <w:rsid w:val="00E43220"/>
    <w:rsid w:val="00E5724F"/>
    <w:rsid w:val="00E576B2"/>
    <w:rsid w:val="00E755D0"/>
    <w:rsid w:val="00E95024"/>
    <w:rsid w:val="00E95051"/>
    <w:rsid w:val="00E9624B"/>
    <w:rsid w:val="00EA2FED"/>
    <w:rsid w:val="00EA362C"/>
    <w:rsid w:val="00EB09AB"/>
    <w:rsid w:val="00EB0D62"/>
    <w:rsid w:val="00EC6084"/>
    <w:rsid w:val="00ED5BFE"/>
    <w:rsid w:val="00EE24A8"/>
    <w:rsid w:val="00F11C53"/>
    <w:rsid w:val="00F27E78"/>
    <w:rsid w:val="00F5334D"/>
    <w:rsid w:val="00F57CB9"/>
    <w:rsid w:val="00F8038B"/>
    <w:rsid w:val="00F96761"/>
    <w:rsid w:val="00FA3AC5"/>
    <w:rsid w:val="00FC3D5B"/>
    <w:rsid w:val="00FD0760"/>
    <w:rsid w:val="00FD1035"/>
    <w:rsid w:val="00FF40BB"/>
    <w:rsid w:val="00FF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2C52"/>
  <w15:docId w15:val="{77ABACD0-D90A-4E8E-B5CE-CE83E17B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2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4B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AC2FD6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C2FD6"/>
    <w:rPr>
      <w:rFonts w:eastAsia="Times New Roman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5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24F"/>
  </w:style>
  <w:style w:type="paragraph" w:styleId="Pidipagina">
    <w:name w:val="footer"/>
    <w:basedOn w:val="Normale"/>
    <w:link w:val="PidipaginaCarattere"/>
    <w:uiPriority w:val="99"/>
    <w:unhideWhenUsed/>
    <w:rsid w:val="00E5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24F"/>
  </w:style>
  <w:style w:type="character" w:customStyle="1" w:styleId="apple-converted-space">
    <w:name w:val="apple-converted-space"/>
    <w:basedOn w:val="Carpredefinitoparagrafo"/>
    <w:rsid w:val="00E5724F"/>
  </w:style>
  <w:style w:type="character" w:styleId="Collegamentoipertestuale">
    <w:name w:val="Hyperlink"/>
    <w:basedOn w:val="Carpredefinitoparagrafo"/>
    <w:uiPriority w:val="99"/>
    <w:unhideWhenUsed/>
    <w:rsid w:val="00E5724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C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3D5B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829FB-67A5-4962-8008-40C07698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Primo Soccorso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Primo Soccorso</dc:title>
  <dc:creator>Giusy</dc:creator>
  <cp:lastModifiedBy>user</cp:lastModifiedBy>
  <cp:revision>2</cp:revision>
  <cp:lastPrinted>2020-08-11T14:26:00Z</cp:lastPrinted>
  <dcterms:created xsi:type="dcterms:W3CDTF">2020-09-01T06:51:00Z</dcterms:created>
  <dcterms:modified xsi:type="dcterms:W3CDTF">2020-09-01T06:51:00Z</dcterms:modified>
</cp:coreProperties>
</file>